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CC3" w:rsidRPr="00182CC3" w:rsidRDefault="00182CC3" w:rsidP="00182CC3">
      <w:pPr>
        <w:shd w:val="clear" w:color="auto" w:fill="FFFFFF"/>
        <w:spacing w:after="30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spellStart"/>
      <w:r w:rsidRPr="00182C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Сыбайлас</w:t>
      </w:r>
      <w:proofErr w:type="spellEnd"/>
      <w:r w:rsidRPr="00182C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жемқ</w:t>
      </w:r>
      <w:proofErr w:type="gramStart"/>
      <w:r w:rsidRPr="00182C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орлы</w:t>
      </w:r>
      <w:proofErr w:type="gramEnd"/>
      <w:r w:rsidRPr="00182C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ққа</w:t>
      </w:r>
      <w:proofErr w:type="spellEnd"/>
      <w:r w:rsidRPr="00182C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қарсы</w:t>
      </w:r>
      <w:proofErr w:type="spellEnd"/>
      <w:r w:rsidRPr="00182C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күрес</w:t>
      </w:r>
      <w:proofErr w:type="spellEnd"/>
      <w:r w:rsidRPr="00182C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туралы</w:t>
      </w:r>
      <w:proofErr w:type="spellEnd"/>
    </w:p>
    <w:p w:rsidR="00182CC3" w:rsidRPr="00182CC3" w:rsidRDefault="00182CC3" w:rsidP="00182CC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Сыбайлас</w:t>
      </w:r>
      <w:proofErr w:type="spellEnd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жемқорлық</w:t>
      </w:r>
      <w:proofErr w:type="spellEnd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бұл</w:t>
      </w:r>
      <w:proofErr w:type="spellEnd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мемлекет</w:t>
      </w:r>
      <w:proofErr w:type="spellEnd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қауіпсіздігіне</w:t>
      </w:r>
      <w:proofErr w:type="spellEnd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жүйелі</w:t>
      </w:r>
      <w:proofErr w:type="spellEnd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қауі</w:t>
      </w:r>
      <w:proofErr w:type="gramStart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</w:t>
      </w:r>
      <w:proofErr w:type="spellEnd"/>
      <w:proofErr w:type="gramEnd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мемлекет</w:t>
      </w:r>
      <w:proofErr w:type="spellEnd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пен </w:t>
      </w:r>
      <w:proofErr w:type="spellStart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қоғамның</w:t>
      </w:r>
      <w:proofErr w:type="spellEnd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тұрақтылығына</w:t>
      </w:r>
      <w:proofErr w:type="spellEnd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қауіп</w:t>
      </w:r>
      <w:proofErr w:type="spellEnd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төндіретін</w:t>
      </w:r>
      <w:proofErr w:type="spellEnd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фактор.</w:t>
      </w:r>
      <w:r w:rsidRPr="00182CC3">
        <w:rPr>
          <w:rFonts w:ascii="Times New Roman" w:eastAsia="Times New Roman" w:hAnsi="Times New Roman" w:cs="Times New Roman"/>
          <w:sz w:val="28"/>
          <w:szCs w:val="28"/>
        </w:rPr>
        <w:br/>
      </w:r>
      <w:r w:rsidRPr="00182CC3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жемқорлыққа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қарсы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күрес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Қазақстан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Республикасы</w:t>
      </w:r>
      <w:proofErr w:type="spellEnd"/>
      <w:proofErr w:type="gramStart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182CC3">
        <w:rPr>
          <w:rFonts w:ascii="Times New Roman" w:eastAsia="Times New Roman" w:hAnsi="Times New Roman" w:cs="Times New Roman"/>
          <w:sz w:val="28"/>
          <w:szCs w:val="28"/>
        </w:rPr>
        <w:t>аңының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6-бабына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сәйкес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барлық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органдар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лауазымды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адамдар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өз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құзыреті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шегінде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жемқорлықпен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күресуге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міндетті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82CC3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Сыбайлас</w:t>
      </w:r>
      <w:proofErr w:type="spellEnd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жемқорлық</w:t>
      </w:r>
      <w:proofErr w:type="spellEnd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түсінігі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жемқорлық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дегеніміз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функцияларды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жүзеге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асыратын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адамдар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сондай-ақ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оларға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теңестірілген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адамдар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өздерінің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қызметтік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ө</w:t>
      </w:r>
      <w:proofErr w:type="gramStart"/>
      <w:r w:rsidRPr="00182CC3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182CC3">
        <w:rPr>
          <w:rFonts w:ascii="Times New Roman" w:eastAsia="Times New Roman" w:hAnsi="Times New Roman" w:cs="Times New Roman"/>
          <w:sz w:val="28"/>
          <w:szCs w:val="28"/>
        </w:rPr>
        <w:t>ілеттіктері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мүмкіндіктерін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пайдаланып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мүліктік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пайда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өз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өкілеттіктерін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өзге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жолмен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пайдалануы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делдалдар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мүліктік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игіліктер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артықшылықтарды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қабылдау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82CC3">
        <w:rPr>
          <w:rFonts w:ascii="Times New Roman" w:eastAsia="Times New Roman" w:hAnsi="Times New Roman" w:cs="Times New Roman"/>
          <w:sz w:val="28"/>
          <w:szCs w:val="28"/>
        </w:rPr>
        <w:t>заңды</w:t>
      </w:r>
      <w:proofErr w:type="spellEnd"/>
      <w:proofErr w:type="gram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тұлғалардың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көрсетілген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артықшылықтар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артықшылықтарды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заңсыз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ұсынуы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осы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тұлғалардың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пара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алуы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жемқорлық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құқық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бұзушылық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дегеніміз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- «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жемқорлыққа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қарсы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күрес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Қазақстан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Республикасыны</w:t>
      </w:r>
      <w:proofErr w:type="gramStart"/>
      <w:r w:rsidRPr="00182CC3">
        <w:rPr>
          <w:rFonts w:ascii="Times New Roman" w:eastAsia="Times New Roman" w:hAnsi="Times New Roman" w:cs="Times New Roman"/>
          <w:sz w:val="28"/>
          <w:szCs w:val="28"/>
        </w:rPr>
        <w:t>ң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182CC3">
        <w:rPr>
          <w:rFonts w:ascii="Times New Roman" w:eastAsia="Times New Roman" w:hAnsi="Times New Roman" w:cs="Times New Roman"/>
          <w:sz w:val="28"/>
          <w:szCs w:val="28"/>
        </w:rPr>
        <w:t>аңында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сондай-ақ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басқа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заңдарда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жемқорлыққа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қатысты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сыбайлас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жемқорлыққа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жағдай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туғызатын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заңда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белгіленген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тәртіптік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әкімшілік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қылмыстық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жауаптылыққа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әкеп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соқтыратын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әрекет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82CC3">
        <w:rPr>
          <w:rFonts w:ascii="Times New Roman" w:eastAsia="Times New Roman" w:hAnsi="Times New Roman" w:cs="Times New Roman"/>
          <w:sz w:val="28"/>
          <w:szCs w:val="28"/>
        </w:rPr>
        <w:br/>
      </w:r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Пара !!</w:t>
      </w:r>
      <w:r w:rsidRPr="00182CC3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Қазақстан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Республикасының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Қылмыстық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кодексінде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парамен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қылмыстардың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екі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тү</w:t>
      </w:r>
      <w:proofErr w:type="gramStart"/>
      <w:r w:rsidRPr="00182CC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82CC3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қарастырылған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82CC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82CC3" w:rsidRPr="00182CC3" w:rsidRDefault="00182CC3" w:rsidP="00182CC3">
      <w:pPr>
        <w:numPr>
          <w:ilvl w:val="0"/>
          <w:numId w:val="1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пара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(311-бап);</w:t>
      </w:r>
    </w:p>
    <w:p w:rsidR="00182CC3" w:rsidRPr="00182CC3" w:rsidRDefault="00182CC3" w:rsidP="00182CC3">
      <w:pPr>
        <w:numPr>
          <w:ilvl w:val="0"/>
          <w:numId w:val="1"/>
        </w:numPr>
        <w:spacing w:after="0" w:line="360" w:lineRule="atLeas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CC3">
        <w:rPr>
          <w:rFonts w:ascii="Times New Roman" w:eastAsia="Times New Roman" w:hAnsi="Times New Roman" w:cs="Times New Roman"/>
          <w:sz w:val="28"/>
          <w:szCs w:val="28"/>
        </w:rPr>
        <w:t>пара беру (312-бап).</w:t>
      </w:r>
    </w:p>
    <w:p w:rsidR="00182CC3" w:rsidRPr="00182CC3" w:rsidRDefault="00182CC3" w:rsidP="00182CC3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Бұл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қылмыс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182CC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монетаның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екі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жағы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пара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айтатын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болсақ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онда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пара (пара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алушы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оны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беретін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(пара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беруші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) бар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екенін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білдіреді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82CC3">
        <w:rPr>
          <w:rFonts w:ascii="Times New Roman" w:eastAsia="Times New Roman" w:hAnsi="Times New Roman" w:cs="Times New Roman"/>
          <w:sz w:val="28"/>
          <w:szCs w:val="28"/>
        </w:rPr>
        <w:br/>
        <w:t xml:space="preserve">Пара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әсіресе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оны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адамдар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тобы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жасаған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болса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қорқытып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алумен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бірге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жүрсе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ең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қауіпті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заңсыздықтың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бірі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табылады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82CC3">
        <w:rPr>
          <w:rFonts w:ascii="Times New Roman" w:eastAsia="Times New Roman" w:hAnsi="Times New Roman" w:cs="Times New Roman"/>
          <w:sz w:val="28"/>
          <w:szCs w:val="28"/>
        </w:rPr>
        <w:br/>
        <w:t xml:space="preserve">Пара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ең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қауіпті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қызметтік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қылмыстардың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182CC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82CC3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әсіресе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оны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адамдар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тобы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жасаса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бопсалауға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болса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шенеуніктің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заңды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заңсыз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әрекеттері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әрекетсіздігі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артықшылықтар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артықшылықтарды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алудан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тұрады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82CC3">
        <w:rPr>
          <w:rFonts w:ascii="Times New Roman" w:eastAsia="Times New Roman" w:hAnsi="Times New Roman" w:cs="Times New Roman"/>
          <w:sz w:val="28"/>
          <w:szCs w:val="28"/>
        </w:rPr>
        <w:br/>
      </w:r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Пара </w:t>
      </w:r>
      <w:proofErr w:type="spellStart"/>
      <w:proofErr w:type="gramStart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деп</w:t>
      </w:r>
      <w:proofErr w:type="spellEnd"/>
      <w:proofErr w:type="gramEnd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түсініледі</w:t>
      </w:r>
      <w:proofErr w:type="spellEnd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Pr="00182CC3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Элементтер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ақша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валюта,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банктік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чектер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бағалы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қағаздар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қымбат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металдар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тастардан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жасалған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бұйымдар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автомобильдер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тамақ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бейне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техникасы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тұрмыстық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техника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басқа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тауарлар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182CC3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182CC3">
        <w:rPr>
          <w:rFonts w:ascii="Times New Roman" w:eastAsia="Times New Roman" w:hAnsi="Times New Roman" w:cs="Times New Roman"/>
          <w:sz w:val="28"/>
          <w:szCs w:val="28"/>
        </w:rPr>
        <w:t>әтерлер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коттедждер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саяжайлар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гараждар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жер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басқа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жылжымайтын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мүлік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82CC3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Қызметтер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артықшылықтар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емдеу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жөндеу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құрылыс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жұмыстары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lastRenderedPageBreak/>
        <w:t>санаторийлер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туристік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сапарлар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шетелге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сапарлар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ойын-сауық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төлемдері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82CC3">
        <w:rPr>
          <w:rFonts w:ascii="Times New Roman" w:eastAsia="Times New Roman" w:hAnsi="Times New Roman" w:cs="Times New Roman"/>
          <w:sz w:val="28"/>
          <w:szCs w:val="28"/>
        </w:rPr>
        <w:t>бас</w:t>
      </w:r>
      <w:proofErr w:type="gramEnd"/>
      <w:r w:rsidRPr="00182CC3">
        <w:rPr>
          <w:rFonts w:ascii="Times New Roman" w:eastAsia="Times New Roman" w:hAnsi="Times New Roman" w:cs="Times New Roman"/>
          <w:sz w:val="28"/>
          <w:szCs w:val="28"/>
        </w:rPr>
        <w:t>қа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шығындар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ақысыз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арзан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бағамен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82CC3">
        <w:rPr>
          <w:rFonts w:ascii="Times New Roman" w:eastAsia="Times New Roman" w:hAnsi="Times New Roman" w:cs="Times New Roman"/>
          <w:sz w:val="28"/>
          <w:szCs w:val="28"/>
        </w:rPr>
        <w:br/>
        <w:t xml:space="preserve">Пара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алудың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жабық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нысаны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жоқ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қарызды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төлеу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төмен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82CC3">
        <w:rPr>
          <w:rFonts w:ascii="Times New Roman" w:eastAsia="Times New Roman" w:hAnsi="Times New Roman" w:cs="Times New Roman"/>
          <w:sz w:val="28"/>
          <w:szCs w:val="28"/>
        </w:rPr>
        <w:t>ба</w:t>
      </w:r>
      <w:proofErr w:type="gramEnd"/>
      <w:r w:rsidRPr="00182CC3">
        <w:rPr>
          <w:rFonts w:ascii="Times New Roman" w:eastAsia="Times New Roman" w:hAnsi="Times New Roman" w:cs="Times New Roman"/>
          <w:sz w:val="28"/>
          <w:szCs w:val="28"/>
        </w:rPr>
        <w:t>ғамен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сатып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алынған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тауарды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төлеу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тауарды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инфляцияланған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бағамен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сатып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пара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берушіге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оның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туыстарына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достарына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төленетін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жалақымен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жалған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еңбек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келісім-шарттарын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жасау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жеңілдетілген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несие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төлемдерді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көтеру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тү</w:t>
      </w:r>
      <w:proofErr w:type="gramStart"/>
      <w:r w:rsidRPr="00182CC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82CC3">
        <w:rPr>
          <w:rFonts w:ascii="Times New Roman" w:eastAsia="Times New Roman" w:hAnsi="Times New Roman" w:cs="Times New Roman"/>
          <w:sz w:val="28"/>
          <w:szCs w:val="28"/>
        </w:rPr>
        <w:t>інде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банктік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қарыз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дәрістер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мақалалар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кітаптар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казинодағы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кездейсоқ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ұтыстар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жалдау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ақысының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төмендеуі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несиелер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пайыздық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ставкалардың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жоғарылауы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т.б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82CC3">
        <w:rPr>
          <w:rFonts w:ascii="Times New Roman" w:eastAsia="Times New Roman" w:hAnsi="Times New Roman" w:cs="Times New Roman"/>
          <w:sz w:val="28"/>
          <w:szCs w:val="28"/>
        </w:rPr>
        <w:br/>
      </w:r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Пара </w:t>
      </w:r>
      <w:proofErr w:type="spellStart"/>
      <w:proofErr w:type="gramStart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алғаны</w:t>
      </w:r>
      <w:proofErr w:type="spellEnd"/>
      <w:proofErr w:type="gramEnd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үшін</w:t>
      </w:r>
      <w:proofErr w:type="spellEnd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кім</w:t>
      </w:r>
      <w:proofErr w:type="spellEnd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жауапқа</w:t>
      </w:r>
      <w:proofErr w:type="spellEnd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тартылуы</w:t>
      </w:r>
      <w:proofErr w:type="spellEnd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мүмкін</w:t>
      </w:r>
      <w:proofErr w:type="spellEnd"/>
      <w:r w:rsidRPr="00182C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?</w:t>
      </w:r>
      <w:r w:rsidRPr="00182CC3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функцияларды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орындауға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уәкілеттік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берілген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лауазымды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тұлға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оған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теңесті</w:t>
      </w:r>
      <w:proofErr w:type="gramStart"/>
      <w:r w:rsidRPr="00182CC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82CC3">
        <w:rPr>
          <w:rFonts w:ascii="Times New Roman" w:eastAsia="Times New Roman" w:hAnsi="Times New Roman" w:cs="Times New Roman"/>
          <w:sz w:val="28"/>
          <w:szCs w:val="28"/>
        </w:rPr>
        <w:t>ілген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тұлға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пара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алушы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танылуы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мүмкін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82CC3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Жауапты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лауазымға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ие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тұлғалар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мемлекет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функциялары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органдардың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өкілеттіктерін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тікелей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орындау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үшін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Қазақстан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Республикасының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Конституциясында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Қазақстан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Республикасының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конституциялық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өзге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де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заңдарында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белгіленген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лауазымдарды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атқаратын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2CC3">
        <w:rPr>
          <w:rFonts w:ascii="Times New Roman" w:eastAsia="Times New Roman" w:hAnsi="Times New Roman" w:cs="Times New Roman"/>
          <w:sz w:val="28"/>
          <w:szCs w:val="28"/>
        </w:rPr>
        <w:t>адамдар</w:t>
      </w:r>
      <w:proofErr w:type="spellEnd"/>
      <w:r w:rsidRPr="00182C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53A7" w:rsidRPr="00182CC3" w:rsidRDefault="00B353A7" w:rsidP="00182CC3">
      <w:pPr>
        <w:autoSpaceDE w:val="0"/>
        <w:autoSpaceDN w:val="0"/>
        <w:adjustRightInd w:val="0"/>
        <w:spacing w:after="0" w:line="240" w:lineRule="auto"/>
        <w:ind w:right="-2411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353A7" w:rsidRPr="001B4E7D" w:rsidRDefault="00B353A7" w:rsidP="00182CC3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1B4E7D">
        <w:rPr>
          <w:rFonts w:ascii="Times New Roman" w:hAnsi="Times New Roman" w:cs="Times New Roman"/>
          <w:lang w:val="kk-KZ"/>
        </w:rPr>
        <w:t xml:space="preserve">                                            </w:t>
      </w:r>
      <w:r w:rsidR="001B4E7D">
        <w:rPr>
          <w:rFonts w:ascii="Times New Roman" w:hAnsi="Times New Roman" w:cs="Times New Roman"/>
          <w:lang w:val="kk-KZ"/>
        </w:rPr>
        <w:t xml:space="preserve">               </w:t>
      </w:r>
      <w:r w:rsidRPr="001B4E7D">
        <w:rPr>
          <w:rFonts w:ascii="Times New Roman" w:hAnsi="Times New Roman" w:cs="Times New Roman"/>
          <w:lang w:val="kk-KZ"/>
        </w:rPr>
        <w:t xml:space="preserve"> </w:t>
      </w:r>
    </w:p>
    <w:p w:rsidR="00B353A7" w:rsidRPr="00182CC3" w:rsidRDefault="00B353A7" w:rsidP="00182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182CC3">
        <w:rPr>
          <w:rFonts w:ascii="Times New Roman" w:hAnsi="Times New Roman"/>
          <w:b/>
          <w:bCs/>
          <w:sz w:val="28"/>
          <w:szCs w:val="28"/>
          <w:lang w:val="kk-KZ"/>
        </w:rPr>
        <w:t>Жемқорлыққа қарсы күрес  іс шаралары</w:t>
      </w:r>
    </w:p>
    <w:p w:rsidR="00B353A7" w:rsidRPr="00182CC3" w:rsidRDefault="00B353A7" w:rsidP="00B353A7">
      <w:pPr>
        <w:spacing w:after="0" w:line="240" w:lineRule="auto"/>
        <w:ind w:right="-1"/>
        <w:jc w:val="center"/>
        <w:rPr>
          <w:rFonts w:ascii="Times New Roman" w:hAnsi="Times New Roman"/>
          <w:bCs/>
          <w:iCs/>
          <w:sz w:val="28"/>
          <w:szCs w:val="28"/>
          <w:lang w:val="kk-KZ"/>
        </w:rPr>
      </w:pP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418"/>
        <w:gridCol w:w="3118"/>
      </w:tblGrid>
      <w:tr w:rsidR="001B4E7D" w:rsidRPr="00182CC3" w:rsidTr="00182CC3">
        <w:tc>
          <w:tcPr>
            <w:tcW w:w="709" w:type="dxa"/>
            <w:shd w:val="clear" w:color="auto" w:fill="auto"/>
          </w:tcPr>
          <w:p w:rsidR="00B353A7" w:rsidRPr="00182CC3" w:rsidRDefault="00B353A7" w:rsidP="00B353A7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182CC3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394" w:type="dxa"/>
            <w:shd w:val="clear" w:color="auto" w:fill="auto"/>
          </w:tcPr>
          <w:p w:rsidR="00B353A7" w:rsidRPr="00182CC3" w:rsidRDefault="00B353A7" w:rsidP="00B353A7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182CC3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/>
              </w:rPr>
              <w:t>Жұмыстың түрлері</w:t>
            </w:r>
          </w:p>
        </w:tc>
        <w:tc>
          <w:tcPr>
            <w:tcW w:w="1418" w:type="dxa"/>
            <w:shd w:val="clear" w:color="auto" w:fill="auto"/>
          </w:tcPr>
          <w:p w:rsidR="00B353A7" w:rsidRPr="00182CC3" w:rsidRDefault="00B353A7" w:rsidP="00B353A7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182CC3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118" w:type="dxa"/>
            <w:shd w:val="clear" w:color="auto" w:fill="auto"/>
          </w:tcPr>
          <w:p w:rsidR="00B353A7" w:rsidRPr="00182CC3" w:rsidRDefault="00B353A7" w:rsidP="00B353A7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182CC3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/>
              </w:rPr>
              <w:t>Жауаптылар</w:t>
            </w:r>
          </w:p>
        </w:tc>
      </w:tr>
      <w:tr w:rsidR="001B4E7D" w:rsidRPr="00182CC3" w:rsidTr="00182CC3">
        <w:tc>
          <w:tcPr>
            <w:tcW w:w="709" w:type="dxa"/>
            <w:shd w:val="clear" w:color="auto" w:fill="auto"/>
          </w:tcPr>
          <w:p w:rsidR="00B353A7" w:rsidRPr="00182CC3" w:rsidRDefault="00B353A7" w:rsidP="00B353A7">
            <w:pPr>
              <w:spacing w:line="240" w:lineRule="auto"/>
              <w:ind w:right="-1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182CC3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353A7" w:rsidRPr="00182CC3" w:rsidRDefault="00B353A7" w:rsidP="00B353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182CC3">
              <w:rPr>
                <w:rFonts w:ascii="Times New Roman" w:hAnsi="Times New Roman"/>
                <w:sz w:val="28"/>
                <w:szCs w:val="28"/>
                <w:lang w:val="kk-KZ"/>
              </w:rPr>
              <w:t>Педагогтарға түсінік жұмыстарын  жүргізу, бөбекжайішілік бұйрық шығару «Сыбайлас жемқорлыққа жол жоқ!»</w:t>
            </w:r>
          </w:p>
        </w:tc>
        <w:tc>
          <w:tcPr>
            <w:tcW w:w="1418" w:type="dxa"/>
            <w:shd w:val="clear" w:color="auto" w:fill="auto"/>
          </w:tcPr>
          <w:p w:rsidR="00B353A7" w:rsidRPr="00182CC3" w:rsidRDefault="00B353A7" w:rsidP="00B353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proofErr w:type="spellStart"/>
            <w:r w:rsidRPr="00182CC3">
              <w:rPr>
                <w:rFonts w:ascii="Times New Roman" w:hAnsi="Times New Roman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B353A7" w:rsidRPr="00182CC3" w:rsidRDefault="00B353A7" w:rsidP="00B353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82CC3">
              <w:rPr>
                <w:rFonts w:ascii="Times New Roman" w:hAnsi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1B4E7D" w:rsidRPr="00182CC3" w:rsidTr="00182CC3">
        <w:tc>
          <w:tcPr>
            <w:tcW w:w="709" w:type="dxa"/>
            <w:shd w:val="clear" w:color="auto" w:fill="auto"/>
          </w:tcPr>
          <w:p w:rsidR="00B353A7" w:rsidRPr="00182CC3" w:rsidRDefault="00B353A7" w:rsidP="00B353A7">
            <w:pPr>
              <w:spacing w:line="240" w:lineRule="auto"/>
              <w:ind w:right="-1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182CC3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B353A7" w:rsidRPr="00182CC3" w:rsidRDefault="00B353A7" w:rsidP="00B353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proofErr w:type="spellStart"/>
            <w:r w:rsidRPr="00182CC3">
              <w:rPr>
                <w:rFonts w:ascii="Times New Roman" w:hAnsi="Times New Roman"/>
                <w:sz w:val="28"/>
                <w:szCs w:val="28"/>
              </w:rPr>
              <w:t>Бейнеролик</w:t>
            </w:r>
            <w:proofErr w:type="spellEnd"/>
            <w:r w:rsidRPr="00182C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2CC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82CC3">
              <w:rPr>
                <w:rFonts w:ascii="Times New Roman" w:hAnsi="Times New Roman"/>
                <w:sz w:val="28"/>
                <w:szCs w:val="28"/>
              </w:rPr>
              <w:t>«</w:t>
            </w:r>
            <w:r w:rsidRPr="00182CC3">
              <w:rPr>
                <w:rFonts w:ascii="Times New Roman" w:hAnsi="Times New Roman"/>
                <w:sz w:val="28"/>
                <w:szCs w:val="28"/>
                <w:lang w:val="kk-KZ"/>
              </w:rPr>
              <w:t>Сыбайлас жемқорлықсыз болашақ</w:t>
            </w:r>
            <w:r w:rsidRPr="00182CC3">
              <w:rPr>
                <w:rFonts w:ascii="Times New Roman" w:hAnsi="Times New Roman"/>
                <w:sz w:val="28"/>
                <w:szCs w:val="28"/>
              </w:rPr>
              <w:t>!»</w:t>
            </w:r>
            <w:r w:rsidRPr="00182CC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82CC3">
              <w:rPr>
                <w:rFonts w:ascii="Times New Roman" w:hAnsi="Times New Roman"/>
                <w:sz w:val="28"/>
                <w:szCs w:val="28"/>
              </w:rPr>
              <w:t>тәрбие</w:t>
            </w:r>
            <w:proofErr w:type="spellEnd"/>
            <w:r w:rsidRPr="00182C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2CC3">
              <w:rPr>
                <w:rFonts w:ascii="Times New Roman" w:hAnsi="Times New Roman"/>
                <w:sz w:val="28"/>
                <w:szCs w:val="28"/>
              </w:rPr>
              <w:t>сағаты</w:t>
            </w:r>
            <w:proofErr w:type="spellEnd"/>
            <w:r w:rsidRPr="00182C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2CC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82CC3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182CC3">
              <w:rPr>
                <w:rFonts w:ascii="Times New Roman" w:hAnsi="Times New Roman"/>
                <w:sz w:val="28"/>
                <w:szCs w:val="28"/>
              </w:rPr>
              <w:t>ат</w:t>
            </w:r>
            <w:proofErr w:type="gramStart"/>
            <w:r w:rsidRPr="00182CC3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182CC3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182CC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182CC3">
              <w:rPr>
                <w:rFonts w:ascii="Times New Roman" w:hAnsi="Times New Roman"/>
                <w:sz w:val="28"/>
                <w:szCs w:val="28"/>
              </w:rPr>
              <w:t>аналармен</w:t>
            </w:r>
            <w:proofErr w:type="spellEnd"/>
            <w:r w:rsidRPr="00182C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2CC3">
              <w:rPr>
                <w:rFonts w:ascii="Times New Roman" w:hAnsi="Times New Roman"/>
                <w:sz w:val="28"/>
                <w:szCs w:val="28"/>
              </w:rPr>
              <w:t>жұмыс</w:t>
            </w:r>
            <w:proofErr w:type="spellEnd"/>
            <w:r w:rsidRPr="00182CC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B353A7" w:rsidRPr="00182CC3" w:rsidRDefault="00B353A7" w:rsidP="00B353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proofErr w:type="spellStart"/>
            <w:r w:rsidRPr="00182CC3">
              <w:rPr>
                <w:rFonts w:ascii="Times New Roman" w:hAnsi="Times New Roman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B353A7" w:rsidRPr="00182CC3" w:rsidRDefault="00B353A7" w:rsidP="00B353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2CC3">
              <w:rPr>
                <w:rFonts w:ascii="Times New Roman" w:hAnsi="Times New Roman"/>
                <w:sz w:val="28"/>
                <w:szCs w:val="28"/>
              </w:rPr>
              <w:t>Әдіскер</w:t>
            </w:r>
            <w:proofErr w:type="spellEnd"/>
            <w:r w:rsidRPr="00182CC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353A7" w:rsidRPr="00182CC3" w:rsidRDefault="000442BB" w:rsidP="00B353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тәрбиешілер</w:t>
            </w:r>
            <w:bookmarkStart w:id="0" w:name="_GoBack"/>
            <w:bookmarkEnd w:id="0"/>
          </w:p>
        </w:tc>
      </w:tr>
      <w:tr w:rsidR="001B4E7D" w:rsidRPr="00182CC3" w:rsidTr="00182CC3">
        <w:tc>
          <w:tcPr>
            <w:tcW w:w="709" w:type="dxa"/>
            <w:shd w:val="clear" w:color="auto" w:fill="auto"/>
          </w:tcPr>
          <w:p w:rsidR="00B353A7" w:rsidRPr="00182CC3" w:rsidRDefault="00B353A7" w:rsidP="00B353A7">
            <w:pPr>
              <w:spacing w:line="240" w:lineRule="auto"/>
              <w:ind w:right="-1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182CC3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B353A7" w:rsidRPr="00182CC3" w:rsidRDefault="00B353A7" w:rsidP="00B353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182CC3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182CC3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  <w:t>Жемқорлық</w:t>
            </w:r>
            <w:r w:rsidRPr="00182CC3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 – құқық бұзушылықтардың картасы</w:t>
            </w:r>
            <w:r w:rsidRPr="00182CC3">
              <w:rPr>
                <w:rFonts w:ascii="Times New Roman" w:hAnsi="Times New Roman"/>
                <w:sz w:val="28"/>
                <w:szCs w:val="28"/>
                <w:lang w:val="kk-KZ"/>
              </w:rPr>
              <w:t>» -педагогтармен дөңгелек  үстел</w:t>
            </w:r>
          </w:p>
        </w:tc>
        <w:tc>
          <w:tcPr>
            <w:tcW w:w="1418" w:type="dxa"/>
            <w:shd w:val="clear" w:color="auto" w:fill="auto"/>
          </w:tcPr>
          <w:p w:rsidR="00B353A7" w:rsidRPr="00182CC3" w:rsidRDefault="00B353A7" w:rsidP="00B353A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182CC3">
              <w:rPr>
                <w:rFonts w:ascii="Times New Roman" w:hAnsi="Times New Roman"/>
                <w:sz w:val="28"/>
                <w:szCs w:val="28"/>
              </w:rPr>
              <w:t>Қараша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B353A7" w:rsidRPr="00182CC3" w:rsidRDefault="00B353A7" w:rsidP="00B353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82CC3">
              <w:rPr>
                <w:rFonts w:ascii="Times New Roman" w:hAnsi="Times New Roman"/>
                <w:sz w:val="28"/>
                <w:szCs w:val="28"/>
                <w:lang w:val="kk-KZ"/>
              </w:rPr>
              <w:t>Әдіскер,</w:t>
            </w:r>
          </w:p>
          <w:p w:rsidR="00B353A7" w:rsidRPr="00182CC3" w:rsidRDefault="00B353A7" w:rsidP="00B353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82CC3">
              <w:rPr>
                <w:rFonts w:ascii="Times New Roman" w:hAnsi="Times New Roman"/>
                <w:sz w:val="28"/>
                <w:szCs w:val="28"/>
                <w:lang w:val="kk-KZ"/>
              </w:rPr>
              <w:t>педагогтар</w:t>
            </w:r>
          </w:p>
        </w:tc>
      </w:tr>
      <w:tr w:rsidR="001B4E7D" w:rsidRPr="00182CC3" w:rsidTr="00182CC3">
        <w:trPr>
          <w:trHeight w:val="588"/>
        </w:trPr>
        <w:tc>
          <w:tcPr>
            <w:tcW w:w="709" w:type="dxa"/>
            <w:shd w:val="clear" w:color="auto" w:fill="auto"/>
          </w:tcPr>
          <w:p w:rsidR="00B353A7" w:rsidRPr="00182CC3" w:rsidRDefault="00B353A7" w:rsidP="00B353A7">
            <w:pPr>
              <w:spacing w:line="240" w:lineRule="auto"/>
              <w:ind w:right="-1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182CC3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B353A7" w:rsidRPr="00182CC3" w:rsidRDefault="00B353A7" w:rsidP="00B353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82CC3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182CC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kk-KZ"/>
              </w:rPr>
              <w:t>Жемқорлық</w:t>
            </w:r>
            <w:r w:rsidRPr="00182CC3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 індет-жою міндет</w:t>
            </w:r>
            <w:r w:rsidRPr="00182CC3">
              <w:rPr>
                <w:rFonts w:ascii="Times New Roman" w:hAnsi="Times New Roman"/>
                <w:sz w:val="28"/>
                <w:szCs w:val="28"/>
                <w:lang w:val="kk-KZ"/>
              </w:rPr>
              <w:t>» педагогтармен пікір талас</w:t>
            </w:r>
          </w:p>
        </w:tc>
        <w:tc>
          <w:tcPr>
            <w:tcW w:w="1418" w:type="dxa"/>
            <w:shd w:val="clear" w:color="auto" w:fill="auto"/>
          </w:tcPr>
          <w:p w:rsidR="00B353A7" w:rsidRPr="00182CC3" w:rsidRDefault="00B353A7" w:rsidP="00B353A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82CC3">
              <w:rPr>
                <w:rFonts w:ascii="Times New Roman" w:hAnsi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118" w:type="dxa"/>
            <w:shd w:val="clear" w:color="auto" w:fill="auto"/>
          </w:tcPr>
          <w:p w:rsidR="00B353A7" w:rsidRPr="00182CC3" w:rsidRDefault="00B353A7" w:rsidP="00B353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82CC3">
              <w:rPr>
                <w:rFonts w:ascii="Times New Roman" w:hAnsi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1B4E7D" w:rsidRPr="00182CC3" w:rsidTr="00182CC3">
        <w:trPr>
          <w:trHeight w:val="588"/>
        </w:trPr>
        <w:tc>
          <w:tcPr>
            <w:tcW w:w="709" w:type="dxa"/>
            <w:shd w:val="clear" w:color="auto" w:fill="auto"/>
          </w:tcPr>
          <w:p w:rsidR="00B353A7" w:rsidRPr="00182CC3" w:rsidRDefault="00B353A7" w:rsidP="00B353A7">
            <w:pPr>
              <w:spacing w:line="240" w:lineRule="auto"/>
              <w:ind w:right="-1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182CC3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B353A7" w:rsidRPr="00182CC3" w:rsidRDefault="00B353A7" w:rsidP="00B353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82CC3">
              <w:rPr>
                <w:rFonts w:ascii="Times New Roman" w:hAnsi="Times New Roman"/>
                <w:sz w:val="28"/>
                <w:szCs w:val="28"/>
                <w:lang w:val="kk-KZ"/>
              </w:rPr>
              <w:t>«Сыбайлас жемқорлыққа қарсы күрес» ата-аналармен дөңгелек үстел</w:t>
            </w:r>
          </w:p>
        </w:tc>
        <w:tc>
          <w:tcPr>
            <w:tcW w:w="1418" w:type="dxa"/>
            <w:shd w:val="clear" w:color="auto" w:fill="auto"/>
          </w:tcPr>
          <w:p w:rsidR="00B353A7" w:rsidRPr="00182CC3" w:rsidRDefault="00B353A7" w:rsidP="00B353A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82CC3">
              <w:rPr>
                <w:rFonts w:ascii="Times New Roman" w:hAnsi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118" w:type="dxa"/>
            <w:shd w:val="clear" w:color="auto" w:fill="auto"/>
          </w:tcPr>
          <w:p w:rsidR="00B353A7" w:rsidRPr="00182CC3" w:rsidRDefault="00B353A7" w:rsidP="00B353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82CC3">
              <w:rPr>
                <w:rFonts w:ascii="Times New Roman" w:hAnsi="Times New Roman"/>
                <w:sz w:val="28"/>
                <w:szCs w:val="28"/>
                <w:lang w:val="kk-KZ"/>
              </w:rPr>
              <w:t>Тәрбиеші Исмайлова С</w:t>
            </w:r>
          </w:p>
        </w:tc>
      </w:tr>
      <w:tr w:rsidR="001B4E7D" w:rsidRPr="00182CC3" w:rsidTr="00182CC3">
        <w:trPr>
          <w:trHeight w:val="588"/>
        </w:trPr>
        <w:tc>
          <w:tcPr>
            <w:tcW w:w="709" w:type="dxa"/>
            <w:shd w:val="clear" w:color="auto" w:fill="auto"/>
          </w:tcPr>
          <w:p w:rsidR="00B353A7" w:rsidRPr="00182CC3" w:rsidRDefault="00B353A7" w:rsidP="00B353A7">
            <w:pPr>
              <w:spacing w:line="240" w:lineRule="auto"/>
              <w:ind w:right="-1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182CC3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B353A7" w:rsidRPr="00182CC3" w:rsidRDefault="00B353A7" w:rsidP="00B353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82CC3">
              <w:rPr>
                <w:rFonts w:ascii="Times New Roman" w:hAnsi="Times New Roman"/>
                <w:sz w:val="28"/>
                <w:szCs w:val="28"/>
                <w:lang w:val="kk-KZ"/>
              </w:rPr>
              <w:t>«Сыбайлас жемқорлық жоқ ел-өркендеуші ел» ұжым арасында дөңгелек үстел</w:t>
            </w:r>
          </w:p>
        </w:tc>
        <w:tc>
          <w:tcPr>
            <w:tcW w:w="1418" w:type="dxa"/>
            <w:shd w:val="clear" w:color="auto" w:fill="auto"/>
          </w:tcPr>
          <w:p w:rsidR="00B353A7" w:rsidRPr="00182CC3" w:rsidRDefault="00B353A7" w:rsidP="00B353A7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82CC3">
              <w:rPr>
                <w:rFonts w:ascii="Times New Roman" w:hAnsi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118" w:type="dxa"/>
            <w:shd w:val="clear" w:color="auto" w:fill="auto"/>
          </w:tcPr>
          <w:p w:rsidR="00B353A7" w:rsidRPr="00182CC3" w:rsidRDefault="00B353A7" w:rsidP="00B353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82CC3">
              <w:rPr>
                <w:rFonts w:ascii="Times New Roman" w:hAnsi="Times New Roman"/>
                <w:sz w:val="28"/>
                <w:szCs w:val="28"/>
                <w:lang w:val="kk-KZ"/>
              </w:rPr>
              <w:t>Кәсіподақ төрайымы Молдахметова .М</w:t>
            </w:r>
          </w:p>
        </w:tc>
      </w:tr>
    </w:tbl>
    <w:p w:rsidR="008F68AC" w:rsidRPr="00182CC3" w:rsidRDefault="008F68AC" w:rsidP="00B353A7">
      <w:pPr>
        <w:ind w:left="-567"/>
        <w:jc w:val="center"/>
        <w:rPr>
          <w:sz w:val="28"/>
          <w:szCs w:val="28"/>
        </w:rPr>
      </w:pPr>
    </w:p>
    <w:sectPr w:rsidR="008F68AC" w:rsidRPr="00182CC3" w:rsidSect="00182CC3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8552D"/>
    <w:multiLevelType w:val="multilevel"/>
    <w:tmpl w:val="CDB0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1A"/>
    <w:rsid w:val="000442BB"/>
    <w:rsid w:val="00182CC3"/>
    <w:rsid w:val="001B4E7D"/>
    <w:rsid w:val="003A211A"/>
    <w:rsid w:val="003D1CDD"/>
    <w:rsid w:val="008F68AC"/>
    <w:rsid w:val="00B3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A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82C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2C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A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82C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2C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85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2023-10-26T03:47:00Z</cp:lastPrinted>
  <dcterms:created xsi:type="dcterms:W3CDTF">2024-02-12T14:59:00Z</dcterms:created>
  <dcterms:modified xsi:type="dcterms:W3CDTF">2024-02-12T18:18:00Z</dcterms:modified>
</cp:coreProperties>
</file>