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2D" w:rsidRPr="009D792D" w:rsidRDefault="0079549A" w:rsidP="009D7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9D792D" w:rsidRPr="009D79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«Балбұлақ» бө</w:t>
      </w:r>
      <w:r w:rsidR="009D79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9D792D" w:rsidRPr="009D79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екжайы»КМҚК</w:t>
      </w:r>
    </w:p>
    <w:p w:rsidR="009D792D" w:rsidRPr="009D792D" w:rsidRDefault="009D792D" w:rsidP="009D7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79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ата-аналарымен жұмысты ұйымдастыру бойынша</w:t>
      </w:r>
    </w:p>
    <w:p w:rsidR="009D792D" w:rsidRPr="009D792D" w:rsidRDefault="009D792D" w:rsidP="009D7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79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консультациялық пункттің 2024-2025 оқу жылына арналған жұмыс жоспары</w:t>
      </w:r>
    </w:p>
    <w:p w:rsidR="009D792D" w:rsidRPr="009D792D" w:rsidRDefault="009D792D" w:rsidP="009D7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79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9D792D" w:rsidRPr="009D792D" w:rsidRDefault="009D792D" w:rsidP="009D792D">
      <w:pPr>
        <w:shd w:val="clear" w:color="auto" w:fill="FFFFFF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79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Мақсаты:</w:t>
      </w:r>
      <w:r w:rsidRPr="009D79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Ата-аналар мен отбасы жағдайында  тәрбиеленіп жатқан мектеп жасына дейінгі балаларға   тәрбие, оқыту және дамыту мәселелері бойынша жан-жақты көмек көрсету.</w:t>
      </w:r>
    </w:p>
    <w:p w:rsidR="009D792D" w:rsidRPr="009D792D" w:rsidRDefault="009D792D" w:rsidP="009D79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79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Міндеттері:</w:t>
      </w:r>
    </w:p>
    <w:p w:rsidR="009D792D" w:rsidRPr="009D792D" w:rsidRDefault="009D792D" w:rsidP="009D79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79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отбасылық және қоғамдық тәрбиенің бірлігі мен сабақтастығын қамтамасыз ету;</w:t>
      </w:r>
    </w:p>
    <w:p w:rsidR="009D792D" w:rsidRPr="009D792D" w:rsidRDefault="009D792D" w:rsidP="009D79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</w:t>
      </w:r>
      <w:proofErr w:type="gram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792D" w:rsidRDefault="009D792D" w:rsidP="009D79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мекемелеріне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келмейтін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басының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жан-жақты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92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</w:p>
    <w:p w:rsidR="009D792D" w:rsidRPr="009D792D" w:rsidRDefault="009D792D" w:rsidP="009D79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 мазмұны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9D792D" w:rsidRPr="002F53A4" w:rsidTr="000A4502">
        <w:trPr>
          <w:trHeight w:val="496"/>
        </w:trPr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консультациялық жоспарын  құру, жұмыс уақытын белгілеу.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</w:tr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Тренинг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«Кел танысайық»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Қырқүйек </w:t>
            </w:r>
          </w:p>
        </w:tc>
      </w:tr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беру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«Бейімделу кезіңдегі балалар денсаулығы»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Дөңгелек үстел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«Отбасылық бақыт әліппесі»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Исмайлова Салтанат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 іс-әрекеті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алақандар»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Шотыбасова Адеми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Көрме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«Ғажайып қыс»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«Сенсорика әлеміне саяхат»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«Денсаулық, күн тәртібі»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«Секіру» /балалармен қимылқозғалыс ойындары/ Ойын-сабақ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 Гүлназ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</w:tr>
      <w:tr w:rsidR="009D792D" w:rsidRPr="002F53A4" w:rsidTr="000A4502">
        <w:tc>
          <w:tcPr>
            <w:tcW w:w="534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1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беру</w:t>
            </w:r>
          </w:p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«Жаз мезгіліндегі демалысты дұрыс ұйымдастыру »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  <w:tc>
          <w:tcPr>
            <w:tcW w:w="2393" w:type="dxa"/>
          </w:tcPr>
          <w:p w:rsidR="009D792D" w:rsidRPr="00E81292" w:rsidRDefault="009D792D" w:rsidP="000A45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</w:tr>
    </w:tbl>
    <w:p w:rsidR="009D792D" w:rsidRDefault="009D792D" w:rsidP="00CA5F40">
      <w:pPr>
        <w:shd w:val="clear" w:color="auto" w:fill="FFFFFF"/>
        <w:spacing w:after="0" w:line="240" w:lineRule="auto"/>
        <w:ind w:left="889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9D792D" w:rsidRDefault="009D792D" w:rsidP="00CA5F40">
      <w:pPr>
        <w:shd w:val="clear" w:color="auto" w:fill="FFFFFF"/>
        <w:spacing w:after="0" w:line="240" w:lineRule="auto"/>
        <w:ind w:left="889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9D792D" w:rsidRDefault="009D792D" w:rsidP="00CA5F40">
      <w:pPr>
        <w:shd w:val="clear" w:color="auto" w:fill="FFFFFF"/>
        <w:spacing w:after="0" w:line="240" w:lineRule="auto"/>
        <w:ind w:left="889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9D792D" w:rsidRDefault="009D792D" w:rsidP="009D792D">
      <w:pPr>
        <w:shd w:val="clear" w:color="auto" w:fill="FFFFFF"/>
        <w:spacing w:after="0" w:line="240" w:lineRule="auto"/>
        <w:ind w:left="889"/>
        <w:jc w:val="center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CA5F40" w:rsidRPr="00B27C94" w:rsidRDefault="00CA5F40" w:rsidP="009D792D">
      <w:pPr>
        <w:shd w:val="clear" w:color="auto" w:fill="FFFFFF"/>
        <w:spacing w:after="0" w:line="240" w:lineRule="auto"/>
        <w:ind w:left="889"/>
        <w:jc w:val="center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kk-KZ" w:eastAsia="ru-RU"/>
        </w:rPr>
      </w:pPr>
      <w:r w:rsidRPr="00B27C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lastRenderedPageBreak/>
        <w:t>КОНСУЛЬТАЦИЯ</w:t>
      </w:r>
      <w:bookmarkStart w:id="0" w:name="_GoBack"/>
      <w:bookmarkEnd w:id="0"/>
      <w:r w:rsidRPr="00B27C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ЛЫҚ ПУНКТТЕРДІ ҰЙЫМДАСТЫРУ БОЙЫНША</w:t>
      </w:r>
    </w:p>
    <w:p w:rsidR="00CA5F40" w:rsidRPr="00B27C94" w:rsidRDefault="00CA5F40" w:rsidP="00CA5F40">
      <w:pPr>
        <w:shd w:val="clear" w:color="auto" w:fill="FFFFFF"/>
        <w:spacing w:after="0" w:line="240" w:lineRule="auto"/>
        <w:ind w:left="10"/>
        <w:jc w:val="center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kk-KZ" w:eastAsia="ru-RU"/>
        </w:rPr>
      </w:pPr>
      <w:r w:rsidRPr="00B27C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НҰСҚАУЛЫҚТАР</w:t>
      </w:r>
    </w:p>
    <w:p w:rsidR="00CA5F40" w:rsidRPr="00B27C94" w:rsidRDefault="00CA5F40" w:rsidP="00CA5F40">
      <w:pPr>
        <w:shd w:val="clear" w:color="auto" w:fill="FFFFFF"/>
        <w:spacing w:after="0" w:line="240" w:lineRule="auto"/>
        <w:ind w:left="703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kk-KZ" w:eastAsia="ru-RU"/>
        </w:rPr>
      </w:pPr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kk-KZ" w:eastAsia="ru-RU"/>
        </w:rPr>
        <w:t>Жалпы ереже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kk-KZ" w:eastAsia="ru-RU"/>
        </w:rPr>
      </w:pPr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Мектепке дейінгі тәрбиемен және оқытумен қамтылмаған  мектеп жасына  дейінгі балалардың ата-аналарына (заңды өкілдеріне) арналған консультациялық пункттер мектепке дейінгі ұйымдардың базасында ұйымдастырылады және Мектепке дейінгі тәрбие мен оқытудың үлгілік оқу бағдарламаларын  іске асыратын мектепке дейінгі білім беру ұйымының құрылымдық бөлімшесі.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kk-KZ" w:eastAsia="ru-RU"/>
        </w:rPr>
      </w:pPr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Консультациялық пункттер мектеп  жасына дейінгі  балаларды тәрбиелеу мен дамытуда отбасына көмек көрсетудің бір түрі болып табылады.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kk-KZ" w:eastAsia="ru-RU"/>
        </w:rPr>
      </w:pPr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Мектепке дейінгі тәрбиемен және оқытумен қамтылмаған мектеп жасына дейінгі балалардың ата-аналарына (заңды өкілдеріне) арналған консультациялық пункттердің қызметі мектепке дейінгі ұйымы мен баланың ата-аналарының (заңды өкілдерінің) өзара міндеттемелері туралы келісім -шартқа  </w:t>
      </w:r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kk-KZ" w:eastAsia="ru-RU"/>
        </w:rPr>
        <w:t>(1 қосымша)</w:t>
      </w:r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сәйкес өтеусіз негізде жүзеге асырылады.</w:t>
      </w:r>
    </w:p>
    <w:p w:rsidR="00CA5F40" w:rsidRPr="00B27C94" w:rsidRDefault="00CA5F40" w:rsidP="00CA5F40">
      <w:pPr>
        <w:shd w:val="clear" w:color="auto" w:fill="FFFFFF"/>
        <w:spacing w:after="0" w:line="240" w:lineRule="auto"/>
        <w:ind w:left="703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kk-KZ" w:eastAsia="ru-RU"/>
        </w:rPr>
      </w:pPr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kk-KZ" w:eastAsia="ru-RU"/>
        </w:rPr>
        <w:t>Консультациялық пункт қызметінің мақсаттары мен міндеттері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kk-KZ" w:eastAsia="ru-RU"/>
        </w:rPr>
      </w:pPr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Ата-аналарға (заңды өкілдерге) арналған  консультациялық пункттің жұмысы білім беру саласындағы мемлекеттік саясат қағидаттарын іске асыруға, мектеп  жасына дейінгі  балаларды үйде тәрбиелеп отырған отбасыларға көмек көрсетуді қамтамасыз етуге бағытталған.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kk-KZ" w:eastAsia="ru-RU"/>
        </w:rPr>
      </w:pPr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Мақсаты:мектеп жасына дейінгі  балаларды үйде тәрбиелеп отырған отбасыларға консультациялық және әдістемелік көмек көрсету.</w:t>
      </w:r>
    </w:p>
    <w:p w:rsidR="00CA5F40" w:rsidRPr="00B27C94" w:rsidRDefault="00CA5F40" w:rsidP="00CA5F40">
      <w:pPr>
        <w:shd w:val="clear" w:color="auto" w:fill="FFFFFF"/>
        <w:spacing w:after="0" w:line="240" w:lineRule="auto"/>
        <w:ind w:left="708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міндеттері</w:t>
      </w:r>
      <w:proofErr w:type="spellEnd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CA5F40" w:rsidRPr="00B27C94" w:rsidRDefault="00CA5F40" w:rsidP="00CA5F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жан-жақты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дамуы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мәселелері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бойынша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атааналарға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әдістемелік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өмек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әлеуметтендіруге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ықпал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ету</w:t>
      </w:r>
      <w:proofErr w:type="spellEnd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</w:t>
      </w:r>
      <w:proofErr w:type="gramEnd"/>
    </w:p>
    <w:p w:rsidR="00CA5F40" w:rsidRPr="00B27C94" w:rsidRDefault="00CA5F40" w:rsidP="00CA5F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жастан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бастап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бірінші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сыныпқа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қабылданғанға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тәрбиелеу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оқыту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мәселелері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бойынша</w:t>
      </w:r>
      <w:proofErr w:type="spellEnd"/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көмек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 </w:t>
      </w:r>
    </w:p>
    <w:p w:rsidR="00CA5F40" w:rsidRPr="00B27C94" w:rsidRDefault="00CA5F40" w:rsidP="00CA5F4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көмек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дамуындағы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мәселелерді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анықтау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диагностикалау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бітімі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әлеуметтік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дамуындағы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әртүрлі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ауытқулардың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алдын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үйде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тәрбиелеп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отырған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ақпараттық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қолдау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тәрбиеленушінің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толыққанды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дамуын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қамтамасыз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отбасымен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тығыз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ынтымақтастық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орнатуболып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табылады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ind w:left="703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қызметін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ұйымдастыру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шеңберінде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A5F40" w:rsidRPr="00B27C94" w:rsidRDefault="00CA5F40" w:rsidP="00CA5F4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көмек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беру -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баланы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психологиялы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зерделеу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бала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тұлғасының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ерекшеліктері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бейімділігін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әлеуетті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мүмкіндіктерін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айқындау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сонымен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дамуындағы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әлеуметтік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бейімделуіндегі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бұзушылықтардың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себептері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тетіктерін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анықтау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баланы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дамыту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тәрбиелеу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бойынша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ұсынымдар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әзірлеу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көмек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беру -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әлеуметтік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консультация беру,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өкілдерді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бала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дамуының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физиологиялық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ерекшеліктері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тәрбиенің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бағыттары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күйзеліс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жағдайларын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еңсеру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туралы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хабардар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әдістемелік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өмек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беру -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өкілдерді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ағарту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туындайтын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отбасылық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мәселелердің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алдын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мәдениетін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қалыптастыруға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отбасында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жағымды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қарым-қатынастарды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қалыптастыруға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бағытталған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әдістер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тәсілдер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туралы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хабардар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отбасы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жағдайында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тәрбие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ұйымдастыруға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үйретуге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ғытталған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даму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ерекшеліктері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негізінде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түзету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дамыту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технологияларымен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таныстыру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қызметінің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нысандары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өкілдердің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сұранысы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бойынша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қажетті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топтық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беру,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жазбаша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өтініш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бойынша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сырттай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консультация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беруді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ұйымдастыру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дә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істер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семинарларды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ұйымдастыру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ұйымның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орналастыру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арқылы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әдістемелік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ұсынымдар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беру,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балабақша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мамандарының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зерттеу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жүргізуі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болып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табылады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Отбасыларға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консультация  беру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мамандардың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басшының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әдіскердің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тәрбиешінің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қызметкердің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психологтың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логопедтің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басқа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мамандардың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іктіру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негізінде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құрылады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пункттерге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жұмысқа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тартылған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мамандардың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саны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ұйымның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кадрлық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құрамымен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айқындалады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тіркеу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келесідей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құжаттаманы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жүргізу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қажет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A5F40" w:rsidRPr="00B27C94" w:rsidRDefault="00CA5F40" w:rsidP="00CA5F40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алдын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-ала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жазылу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журналы;</w:t>
      </w:r>
    </w:p>
    <w:p w:rsidR="00CA5F40" w:rsidRPr="00B27C94" w:rsidRDefault="00CA5F40" w:rsidP="00CA5F40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өткізілген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іс-шаралар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кестесі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өкілдерінің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өтініштерін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есепке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журналы </w:t>
      </w:r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(2-қосымша);</w:t>
      </w:r>
    </w:p>
    <w:p w:rsidR="00CA5F40" w:rsidRPr="00B27C94" w:rsidRDefault="00CA5F40" w:rsidP="00CA5F40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жоспары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-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кестесі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-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бойғы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жұмысты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талдау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кестесін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ұйымның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басшысы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бекітеді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     </w:t>
      </w:r>
    </w:p>
    <w:p w:rsidR="00CA5F40" w:rsidRPr="00B27C94" w:rsidRDefault="00CA5F40" w:rsidP="00CA5F40">
      <w:pPr>
        <w:shd w:val="clear" w:color="auto" w:fill="FFFFFF"/>
        <w:spacing w:after="0" w:line="240" w:lineRule="auto"/>
        <w:ind w:left="703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пунктті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басқару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</w:t>
      </w:r>
      <w:proofErr w:type="gram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ған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басшылық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ету</w:t>
      </w:r>
      <w:proofErr w:type="spellEnd"/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тікелей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басшылықты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ұйымның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басшысы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жүзеге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асырады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ұйымның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басшысы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әрбі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қызметкерінің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лауазымдық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функционалдық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міндеттерін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айқындайды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педагогикалық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процесіне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қатысушылардың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құқықтары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</w:t>
      </w:r>
      <w:proofErr w:type="gram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індеттері</w:t>
      </w:r>
      <w:proofErr w:type="spellEnd"/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пункттегі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қатысушылары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мектепке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дейінгі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ұйымның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педагогтері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болып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табылады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9D792D">
      <w:pPr>
        <w:shd w:val="clear" w:color="auto" w:fill="FFFFFF"/>
        <w:spacing w:after="150" w:line="240" w:lineRule="auto"/>
        <w:ind w:left="708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B27C94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 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педагогтері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A5F40" w:rsidRPr="00B27C94" w:rsidRDefault="00CA5F40" w:rsidP="00CA5F40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арасында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імді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белсенді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тарату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тәрбиелеуде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отбасына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тәж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ірибе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арқылы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көмек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- 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пункттің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қызметіне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түзету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жұмыстарын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жүргізу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ind w:left="703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 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пункт </w:t>
      </w:r>
      <w:proofErr w:type="spellStart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педагогтері</w:t>
      </w:r>
      <w:proofErr w:type="spellEnd"/>
      <w:r w:rsidRPr="00B27C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</w:p>
    <w:p w:rsidR="00CA5F40" w:rsidRPr="00B27C94" w:rsidRDefault="00CA5F40" w:rsidP="00CA5F40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жеке-бағдарланған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тәсі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негізінде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сабақ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бағдарламасын</w:t>
      </w:r>
      <w:proofErr w:type="spellEnd"/>
    </w:p>
    <w:p w:rsidR="00CA5F40" w:rsidRPr="00B27C94" w:rsidRDefault="00CA5F40" w:rsidP="00CA5F4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әзірлеуге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жұмыста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қажетті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әдістемелік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әдебиеттер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құралдарын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қолдануға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пунктжұмыс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жоспарын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құруға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істеуге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белсенді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атысу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тартуға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ата-аналарымен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істеу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бағдарламалар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әдістемелік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құралдарды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таң</w:t>
      </w:r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дау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құқығы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бар.</w:t>
      </w:r>
    </w:p>
    <w:p w:rsidR="00CA5F40" w:rsidRPr="00B27C94" w:rsidRDefault="00CA5F40" w:rsidP="00CA5F40">
      <w:pPr>
        <w:shd w:val="clear" w:color="auto" w:fill="FFFFFF"/>
        <w:spacing w:after="0" w:line="240" w:lineRule="auto"/>
        <w:ind w:left="708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):</w:t>
      </w:r>
    </w:p>
    <w:p w:rsidR="00CA5F40" w:rsidRPr="00B27C94" w:rsidRDefault="00CA5F40" w:rsidP="00CA5F40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пунктжұмыс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тәртібін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сақтауға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пунктпедагогтерінің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ұсынымдарын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орындау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міндетті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F40" w:rsidRPr="00B27C94" w:rsidRDefault="00CA5F40" w:rsidP="00CA5F40">
      <w:pPr>
        <w:shd w:val="clear" w:color="auto" w:fill="FFFFFF"/>
        <w:spacing w:after="0" w:line="240" w:lineRule="auto"/>
        <w:ind w:left="708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Ата-аналардың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заңды</w:t>
      </w:r>
      <w:proofErr w:type="spellEnd"/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өкілдер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):</w:t>
      </w:r>
    </w:p>
    <w:p w:rsidR="00CA5F40" w:rsidRPr="00B27C94" w:rsidRDefault="00CA5F40" w:rsidP="00CA5F40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пунктжұмысына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қатысуға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балалардың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сабағына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қатысуға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бала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тәрбиесі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дамуына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байланысты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қажетті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көмек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алуға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A5F40" w:rsidRPr="00B27C94" w:rsidRDefault="00CA5F40" w:rsidP="00CA5F40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ұсынымдар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беруге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консультациялық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пунктжұмысы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бойынша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ұсыныстар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жасау</w:t>
      </w:r>
      <w:proofErr w:type="gram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құқығы</w:t>
      </w:r>
      <w:proofErr w:type="spellEnd"/>
      <w:r w:rsidRPr="00B27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бар.</w:t>
      </w:r>
    </w:p>
    <w:p w:rsidR="00CA5F40" w:rsidRDefault="00CA5F40" w:rsidP="00CA5F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52FC" w:rsidRPr="00CA5F40" w:rsidRDefault="008B52FC" w:rsidP="00CA5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350" w:rsidRDefault="0074235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CA5F40" w:rsidRDefault="00CA5F40" w:rsidP="00B77B1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lang w:val="kk-KZ"/>
        </w:rPr>
      </w:pPr>
    </w:p>
    <w:p w:rsidR="009D792D" w:rsidRDefault="009D792D" w:rsidP="009D79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lang w:val="kk-KZ" w:eastAsia="ru-RU"/>
        </w:rPr>
      </w:pPr>
    </w:p>
    <w:p w:rsidR="00991265" w:rsidRDefault="00991265" w:rsidP="00991265">
      <w:pPr>
        <w:jc w:val="center"/>
        <w:rPr>
          <w:rFonts w:ascii="Times New Roman" w:hAnsi="Times New Roman" w:cs="Times New Roman"/>
          <w:lang w:val="kk-KZ"/>
        </w:rPr>
      </w:pPr>
    </w:p>
    <w:p w:rsidR="0079549A" w:rsidRPr="00742350" w:rsidRDefault="00991265" w:rsidP="00991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2024-2025</w:t>
      </w:r>
      <w:r w:rsidR="0079549A" w:rsidRPr="007423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 «</w:t>
      </w:r>
      <w:r w:rsidR="0079549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Балбұлақ</w:t>
      </w:r>
      <w:r w:rsidR="0079549A" w:rsidRPr="007423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бөбекжайы </w:t>
      </w:r>
      <w:r w:rsidR="0079549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КМҚК</w:t>
      </w:r>
    </w:p>
    <w:p w:rsidR="0079549A" w:rsidRPr="00742350" w:rsidRDefault="0079549A" w:rsidP="00795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23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КОНСУЛЬТАЦИЯЛЫҚ ПУНКТТІҢ ЖҰМЫС КЕСТЕСІ</w:t>
      </w:r>
    </w:p>
    <w:p w:rsidR="0079549A" w:rsidRPr="00742350" w:rsidRDefault="0079549A" w:rsidP="0079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66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410"/>
        <w:gridCol w:w="3980"/>
      </w:tblGrid>
      <w:tr w:rsidR="0079549A" w:rsidRPr="00742350" w:rsidTr="003027CD">
        <w:trPr>
          <w:trHeight w:val="735"/>
        </w:trPr>
        <w:tc>
          <w:tcPr>
            <w:tcW w:w="2424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күні</w:t>
            </w:r>
          </w:p>
        </w:tc>
        <w:tc>
          <w:tcPr>
            <w:tcW w:w="241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уақыты</w:t>
            </w:r>
          </w:p>
        </w:tc>
        <w:tc>
          <w:tcPr>
            <w:tcW w:w="398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МДҰжауапты қызметкерінің лауазымы</w:t>
            </w:r>
          </w:p>
        </w:tc>
      </w:tr>
      <w:tr w:rsidR="0079549A" w:rsidRPr="00742350" w:rsidTr="003027CD">
        <w:trPr>
          <w:trHeight w:val="411"/>
        </w:trPr>
        <w:tc>
          <w:tcPr>
            <w:tcW w:w="2424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1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</w:t>
            </w:r>
          </w:p>
        </w:tc>
        <w:tc>
          <w:tcPr>
            <w:tcW w:w="398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</w:tc>
      </w:tr>
      <w:tr w:rsidR="0079549A" w:rsidRPr="00742350" w:rsidTr="003027CD">
        <w:trPr>
          <w:trHeight w:val="491"/>
        </w:trPr>
        <w:tc>
          <w:tcPr>
            <w:tcW w:w="2424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41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</w:t>
            </w:r>
          </w:p>
        </w:tc>
        <w:tc>
          <w:tcPr>
            <w:tcW w:w="398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79549A" w:rsidRPr="00742350" w:rsidTr="003027CD">
        <w:trPr>
          <w:trHeight w:val="481"/>
        </w:trPr>
        <w:tc>
          <w:tcPr>
            <w:tcW w:w="2424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13.00-15.00</w:t>
            </w:r>
          </w:p>
        </w:tc>
        <w:tc>
          <w:tcPr>
            <w:tcW w:w="398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79549A" w:rsidRPr="00742350" w:rsidTr="003027CD">
        <w:trPr>
          <w:trHeight w:val="417"/>
        </w:trPr>
        <w:tc>
          <w:tcPr>
            <w:tcW w:w="2424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41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14.00-15.00</w:t>
            </w:r>
          </w:p>
        </w:tc>
        <w:tc>
          <w:tcPr>
            <w:tcW w:w="398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79549A" w:rsidRPr="00742350" w:rsidTr="003027CD">
        <w:trPr>
          <w:trHeight w:val="423"/>
        </w:trPr>
        <w:tc>
          <w:tcPr>
            <w:tcW w:w="2424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41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13.00-15.00</w:t>
            </w:r>
          </w:p>
        </w:tc>
        <w:tc>
          <w:tcPr>
            <w:tcW w:w="3980" w:type="dxa"/>
          </w:tcPr>
          <w:p w:rsidR="0079549A" w:rsidRPr="00742350" w:rsidRDefault="0079549A" w:rsidP="003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</w:tbl>
    <w:p w:rsidR="0079549A" w:rsidRDefault="0079549A" w:rsidP="008B5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549A" w:rsidRDefault="0079549A" w:rsidP="008B5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9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64EC"/>
    <w:multiLevelType w:val="multilevel"/>
    <w:tmpl w:val="04D8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270B4"/>
    <w:multiLevelType w:val="multilevel"/>
    <w:tmpl w:val="EE5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53B1B"/>
    <w:multiLevelType w:val="multilevel"/>
    <w:tmpl w:val="891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D0E8B"/>
    <w:multiLevelType w:val="multilevel"/>
    <w:tmpl w:val="25A6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13924"/>
    <w:multiLevelType w:val="multilevel"/>
    <w:tmpl w:val="CD1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153D1"/>
    <w:multiLevelType w:val="multilevel"/>
    <w:tmpl w:val="A00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876A84"/>
    <w:multiLevelType w:val="multilevel"/>
    <w:tmpl w:val="50F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E0C81"/>
    <w:multiLevelType w:val="multilevel"/>
    <w:tmpl w:val="ACE2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9E46DE"/>
    <w:multiLevelType w:val="multilevel"/>
    <w:tmpl w:val="03F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BE"/>
    <w:rsid w:val="00392708"/>
    <w:rsid w:val="004150E6"/>
    <w:rsid w:val="00485FB8"/>
    <w:rsid w:val="005A4CD0"/>
    <w:rsid w:val="006423FA"/>
    <w:rsid w:val="006C7C93"/>
    <w:rsid w:val="006E509E"/>
    <w:rsid w:val="007052A1"/>
    <w:rsid w:val="0072560E"/>
    <w:rsid w:val="00742350"/>
    <w:rsid w:val="00764133"/>
    <w:rsid w:val="0079549A"/>
    <w:rsid w:val="007B57FD"/>
    <w:rsid w:val="007C4600"/>
    <w:rsid w:val="007D236A"/>
    <w:rsid w:val="00855528"/>
    <w:rsid w:val="008B52FC"/>
    <w:rsid w:val="008F42AC"/>
    <w:rsid w:val="008F65AF"/>
    <w:rsid w:val="009838FE"/>
    <w:rsid w:val="00991265"/>
    <w:rsid w:val="009D792D"/>
    <w:rsid w:val="00A115B1"/>
    <w:rsid w:val="00B03C80"/>
    <w:rsid w:val="00B25C73"/>
    <w:rsid w:val="00B901F6"/>
    <w:rsid w:val="00C133BE"/>
    <w:rsid w:val="00CA5F40"/>
    <w:rsid w:val="00D75A2D"/>
    <w:rsid w:val="00DF1CAF"/>
    <w:rsid w:val="00EA12A4"/>
    <w:rsid w:val="00F02D9D"/>
    <w:rsid w:val="00F07832"/>
    <w:rsid w:val="00F25EA2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60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A4CD0"/>
    <w:pPr>
      <w:widowControl w:val="0"/>
      <w:autoSpaceDE w:val="0"/>
      <w:autoSpaceDN w:val="0"/>
      <w:spacing w:after="0" w:line="233" w:lineRule="exact"/>
      <w:ind w:left="16"/>
    </w:pPr>
    <w:rPr>
      <w:rFonts w:ascii="Times New Roman" w:eastAsia="Times New Roman" w:hAnsi="Times New Roman" w:cs="Times New Roman"/>
      <w:lang w:val="kk-KZ"/>
    </w:rPr>
  </w:style>
  <w:style w:type="paragraph" w:styleId="a6">
    <w:name w:val="Normal (Web)"/>
    <w:basedOn w:val="a"/>
    <w:uiPriority w:val="99"/>
    <w:unhideWhenUsed/>
    <w:rsid w:val="0074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423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60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A4CD0"/>
    <w:pPr>
      <w:widowControl w:val="0"/>
      <w:autoSpaceDE w:val="0"/>
      <w:autoSpaceDN w:val="0"/>
      <w:spacing w:after="0" w:line="233" w:lineRule="exact"/>
      <w:ind w:left="16"/>
    </w:pPr>
    <w:rPr>
      <w:rFonts w:ascii="Times New Roman" w:eastAsia="Times New Roman" w:hAnsi="Times New Roman" w:cs="Times New Roman"/>
      <w:lang w:val="kk-KZ"/>
    </w:rPr>
  </w:style>
  <w:style w:type="paragraph" w:styleId="a6">
    <w:name w:val="Normal (Web)"/>
    <w:basedOn w:val="a"/>
    <w:uiPriority w:val="99"/>
    <w:unhideWhenUsed/>
    <w:rsid w:val="0074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42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2024-11-26T06:38:00Z</cp:lastPrinted>
  <dcterms:created xsi:type="dcterms:W3CDTF">2025-01-07T17:19:00Z</dcterms:created>
  <dcterms:modified xsi:type="dcterms:W3CDTF">2025-01-07T17:48:00Z</dcterms:modified>
</cp:coreProperties>
</file>